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2C5F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12ABAAA" wp14:editId="1F47E932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6FB1F" w14:textId="77777777" w:rsidR="00781D51" w:rsidRDefault="00781D51" w:rsidP="00781D51">
      <w:pPr>
        <w:spacing w:after="0"/>
        <w:rPr>
          <w:b/>
        </w:rPr>
      </w:pPr>
    </w:p>
    <w:p w14:paraId="0B8CC076" w14:textId="77777777" w:rsidR="00781D51" w:rsidRDefault="00781D51" w:rsidP="00781D51">
      <w:pPr>
        <w:spacing w:after="0"/>
        <w:rPr>
          <w:b/>
        </w:rPr>
      </w:pPr>
    </w:p>
    <w:p w14:paraId="31C02D6F" w14:textId="77777777" w:rsidR="004C2780" w:rsidRDefault="002E493C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Ear, Nose and Throat – </w:t>
      </w:r>
      <w:r w:rsidR="008778D5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349BC880" w14:textId="77777777" w:rsidR="00781D51" w:rsidRDefault="00781D51" w:rsidP="00781D51">
      <w:pPr>
        <w:spacing w:after="0"/>
      </w:pPr>
    </w:p>
    <w:p w14:paraId="5767B3C9" w14:textId="35AC97B3" w:rsidR="008778D5" w:rsidRDefault="008778D5" w:rsidP="008778D5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Contracted Medical Practitioners (CMPs) are specialists who practi</w:t>
      </w:r>
      <w:r w:rsidR="00991E2E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 privately and also have access to public surgical lists within the East Metropolitan Health Service.</w:t>
      </w:r>
    </w:p>
    <w:p w14:paraId="40690554" w14:textId="39448ED6" w:rsidR="008778D5" w:rsidRDefault="008778D5" w:rsidP="008778D5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These specialists require a named referral to their private rooms for an initial outpatient consultation. Where a consultation is not required prior to colonoscopy or gastroscopy (</w:t>
      </w:r>
      <w:r w:rsidR="00991E2E">
        <w:rPr>
          <w:rFonts w:eastAsia="Times New Roman" w:cs="Arial"/>
          <w:szCs w:val="24"/>
          <w:lang w:val="en" w:eastAsia="en-AU"/>
        </w:rPr>
        <w:t>that is</w:t>
      </w:r>
      <w:r>
        <w:rPr>
          <w:rFonts w:eastAsia="Times New Roman" w:cs="Arial"/>
          <w:szCs w:val="24"/>
          <w:lang w:val="en" w:eastAsia="en-AU"/>
        </w:rPr>
        <w:t xml:space="preserve"> for open access referrals), please follow the </w:t>
      </w:r>
      <w:hyperlink r:id="rId9" w:history="1">
        <w:r>
          <w:rPr>
            <w:rStyle w:val="Hyperlink"/>
            <w:lang w:val="en" w:eastAsia="en-AU"/>
          </w:rPr>
          <w:t>WA A</w:t>
        </w:r>
        <w:r>
          <w:rPr>
            <w:rStyle w:val="Hyperlink"/>
            <w:lang w:val="en" w:eastAsia="en-AU"/>
          </w:rPr>
          <w:t>dult Gastrointestinal Endoscopy Services protocols</w:t>
        </w:r>
      </w:hyperlink>
      <w:r>
        <w:rPr>
          <w:lang w:val="en" w:eastAsia="en-AU"/>
        </w:rPr>
        <w:t>.</w:t>
      </w:r>
    </w:p>
    <w:p w14:paraId="17FE4328" w14:textId="77777777" w:rsidR="008778D5" w:rsidRDefault="008778D5" w:rsidP="008778D5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10630EA1" w14:textId="77777777" w:rsidR="002E493C" w:rsidRDefault="008778D5" w:rsidP="008778D5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4334F9B3" w14:textId="77777777" w:rsidR="008778D5" w:rsidRPr="008778D5" w:rsidRDefault="008778D5" w:rsidP="008778D5">
      <w:pPr>
        <w:rPr>
          <w:rFonts w:eastAsia="Times New Roman" w:cs="Arial"/>
          <w:szCs w:val="24"/>
          <w:lang w:val="en" w:eastAsia="en-AU"/>
        </w:rPr>
      </w:pPr>
    </w:p>
    <w:p w14:paraId="625C1F3E" w14:textId="77777777" w:rsidR="002E493C" w:rsidRDefault="002E493C" w:rsidP="002E493C">
      <w:pPr>
        <w:spacing w:after="0" w:line="288" w:lineRule="auto"/>
      </w:pPr>
    </w:p>
    <w:p w14:paraId="032777DA" w14:textId="77777777" w:rsidR="00781D51" w:rsidRPr="00781D51" w:rsidRDefault="00781D51" w:rsidP="00666729">
      <w:pPr>
        <w:shd w:val="clear" w:color="auto" w:fill="1B2C5B"/>
        <w:jc w:val="center"/>
        <w:rPr>
          <w:b/>
        </w:rPr>
      </w:pPr>
      <w:bookmarkStart w:id="1" w:name="ENT"/>
      <w:r w:rsidRPr="00781D51">
        <w:rPr>
          <w:b/>
        </w:rPr>
        <w:t>Ear, Nose &amp; Throat</w:t>
      </w:r>
    </w:p>
    <w:tbl>
      <w:tblPr>
        <w:tblW w:w="9070" w:type="dxa"/>
        <w:tblInd w:w="108" w:type="dxa"/>
        <w:tblLook w:val="04A0" w:firstRow="1" w:lastRow="0" w:firstColumn="1" w:lastColumn="0" w:noHBand="0" w:noVBand="1"/>
      </w:tblPr>
      <w:tblGrid>
        <w:gridCol w:w="3738"/>
        <w:gridCol w:w="1391"/>
        <w:gridCol w:w="3941"/>
      </w:tblGrid>
      <w:tr w:rsidR="003A175B" w:rsidRPr="003A175B" w14:paraId="0237E04B" w14:textId="77777777" w:rsidTr="003A175B">
        <w:trPr>
          <w:trHeight w:val="1276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bookmarkEnd w:id="1"/>
          <w:p w14:paraId="47E1E037" w14:textId="77777777" w:rsidR="003A175B" w:rsidRPr="003A175B" w:rsidRDefault="003A175B" w:rsidP="003A175B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A175B">
              <w:rPr>
                <w:rFonts w:eastAsia="Times New Roman" w:cs="Arial"/>
                <w:b/>
                <w:bCs/>
                <w:color w:val="000000"/>
                <w:szCs w:val="24"/>
                <w:lang w:eastAsia="en-AU"/>
              </w:rPr>
              <w:t>Yuen,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t xml:space="preserve"> Paul Weng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Ph: (08) 6332 6868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Fax: (08) 6332 6800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76C5" w14:textId="77777777" w:rsidR="003A175B" w:rsidRPr="003A175B" w:rsidRDefault="003A175B" w:rsidP="003A175B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46C5" w14:textId="77777777" w:rsidR="003A175B" w:rsidRPr="003A175B" w:rsidRDefault="003A175B" w:rsidP="003A175B">
            <w:pPr>
              <w:spacing w:after="0"/>
              <w:rPr>
                <w:rFonts w:eastAsia="Times New Roman" w:cs="Arial"/>
                <w:color w:val="000000"/>
                <w:szCs w:val="24"/>
                <w:lang w:eastAsia="en-AU"/>
              </w:rPr>
            </w:pP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t>Wexford Medical Centre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Suite 17/18, 1st Floor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3 Barry Marshall Parade</w:t>
            </w:r>
            <w:r w:rsidRPr="003A175B">
              <w:rPr>
                <w:rFonts w:eastAsia="Times New Roman" w:cs="Arial"/>
                <w:color w:val="000000"/>
                <w:szCs w:val="24"/>
                <w:lang w:eastAsia="en-AU"/>
              </w:rPr>
              <w:br/>
              <w:t>MURDOCH  WA  6150</w:t>
            </w:r>
          </w:p>
        </w:tc>
      </w:tr>
    </w:tbl>
    <w:p w14:paraId="2A3D15FE" w14:textId="77777777" w:rsidR="003A175B" w:rsidRDefault="003A175B" w:rsidP="00781D51"/>
    <w:p w14:paraId="7617E278" w14:textId="77777777" w:rsidR="003A175B" w:rsidRDefault="003A175B" w:rsidP="00781D51"/>
    <w:p w14:paraId="0873F769" w14:textId="77777777" w:rsidR="003A175B" w:rsidRDefault="003A175B" w:rsidP="00781D51"/>
    <w:p w14:paraId="53C76E93" w14:textId="1628754C" w:rsidR="003A175B" w:rsidRPr="00F6533B" w:rsidRDefault="003A175B" w:rsidP="003A175B">
      <w:pPr>
        <w:spacing w:after="0"/>
        <w:rPr>
          <w:b/>
          <w:szCs w:val="24"/>
        </w:rPr>
      </w:pPr>
      <w:r w:rsidRPr="00F6533B">
        <w:rPr>
          <w:szCs w:val="24"/>
        </w:rPr>
        <w:t>Please note</w:t>
      </w:r>
      <w:r w:rsidR="00991E2E" w:rsidRPr="00F6533B">
        <w:rPr>
          <w:szCs w:val="24"/>
        </w:rPr>
        <w:t>,</w:t>
      </w:r>
      <w:r w:rsidRPr="00F6533B">
        <w:rPr>
          <w:szCs w:val="24"/>
        </w:rPr>
        <w:t xml:space="preserve"> some CMP services require a co-payment to be made by the patient. Contact the CMP practice to confirm if co-payment is required.</w:t>
      </w:r>
    </w:p>
    <w:p w14:paraId="36580790" w14:textId="77777777" w:rsidR="003A175B" w:rsidRDefault="003A175B" w:rsidP="00781D51"/>
    <w:p w14:paraId="74BDF880" w14:textId="77777777" w:rsidR="003A175B" w:rsidRDefault="003A175B" w:rsidP="00781D51"/>
    <w:sectPr w:rsidR="003A175B" w:rsidSect="00A22B89"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CB99" w14:textId="77777777" w:rsidR="00CF52E6" w:rsidRDefault="00CF52E6" w:rsidP="00685AEF">
      <w:pPr>
        <w:spacing w:after="0"/>
      </w:pPr>
      <w:r>
        <w:separator/>
      </w:r>
    </w:p>
  </w:endnote>
  <w:endnote w:type="continuationSeparator" w:id="0">
    <w:p w14:paraId="2E9757F2" w14:textId="77777777" w:rsidR="00CF52E6" w:rsidRDefault="00CF52E6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DA3F" w14:textId="77777777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1C52AD85" wp14:editId="2AD79791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1070253685" name="Picture 1070253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2BDE5DC2" wp14:editId="0CBFAB47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711506625" name="Picture 711506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A1C0" w14:textId="77777777" w:rsidR="00CF52E6" w:rsidRDefault="00CF52E6" w:rsidP="00685AEF">
      <w:pPr>
        <w:spacing w:after="0"/>
      </w:pPr>
      <w:r>
        <w:separator/>
      </w:r>
    </w:p>
  </w:footnote>
  <w:footnote w:type="continuationSeparator" w:id="0">
    <w:p w14:paraId="2D2FB152" w14:textId="77777777" w:rsidR="00CF52E6" w:rsidRDefault="00CF52E6" w:rsidP="00685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595320">
    <w:abstractNumId w:val="1"/>
  </w:num>
  <w:num w:numId="2" w16cid:durableId="19539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437E0"/>
    <w:rsid w:val="0014538C"/>
    <w:rsid w:val="00171B7B"/>
    <w:rsid w:val="001A0253"/>
    <w:rsid w:val="001C7D1F"/>
    <w:rsid w:val="001F6030"/>
    <w:rsid w:val="001F68E9"/>
    <w:rsid w:val="00220E8F"/>
    <w:rsid w:val="00274606"/>
    <w:rsid w:val="002C7D7D"/>
    <w:rsid w:val="002E3DE9"/>
    <w:rsid w:val="002E493C"/>
    <w:rsid w:val="00342CC0"/>
    <w:rsid w:val="003529AD"/>
    <w:rsid w:val="00355004"/>
    <w:rsid w:val="003929E7"/>
    <w:rsid w:val="003A175B"/>
    <w:rsid w:val="003F6CB1"/>
    <w:rsid w:val="00456964"/>
    <w:rsid w:val="00466DB9"/>
    <w:rsid w:val="00471692"/>
    <w:rsid w:val="0049608B"/>
    <w:rsid w:val="004A609E"/>
    <w:rsid w:val="004B1E51"/>
    <w:rsid w:val="004C2780"/>
    <w:rsid w:val="004C6976"/>
    <w:rsid w:val="005028AB"/>
    <w:rsid w:val="00546C44"/>
    <w:rsid w:val="0056716B"/>
    <w:rsid w:val="00572D76"/>
    <w:rsid w:val="0058611B"/>
    <w:rsid w:val="005A409E"/>
    <w:rsid w:val="005E2160"/>
    <w:rsid w:val="005F2A30"/>
    <w:rsid w:val="00622784"/>
    <w:rsid w:val="00666729"/>
    <w:rsid w:val="00685AEF"/>
    <w:rsid w:val="006B31BA"/>
    <w:rsid w:val="006F52D0"/>
    <w:rsid w:val="007353BF"/>
    <w:rsid w:val="0074655B"/>
    <w:rsid w:val="0077027C"/>
    <w:rsid w:val="00781D51"/>
    <w:rsid w:val="007A4304"/>
    <w:rsid w:val="007D793C"/>
    <w:rsid w:val="008302B1"/>
    <w:rsid w:val="008778D5"/>
    <w:rsid w:val="00881846"/>
    <w:rsid w:val="008821C1"/>
    <w:rsid w:val="008871F5"/>
    <w:rsid w:val="008967DC"/>
    <w:rsid w:val="00897837"/>
    <w:rsid w:val="008B4FDC"/>
    <w:rsid w:val="008F7FE4"/>
    <w:rsid w:val="00930DF8"/>
    <w:rsid w:val="00962B72"/>
    <w:rsid w:val="009668ED"/>
    <w:rsid w:val="00981DA1"/>
    <w:rsid w:val="0098256D"/>
    <w:rsid w:val="00990328"/>
    <w:rsid w:val="00990D6C"/>
    <w:rsid w:val="00991E2E"/>
    <w:rsid w:val="009B383D"/>
    <w:rsid w:val="009C42B3"/>
    <w:rsid w:val="009C5D75"/>
    <w:rsid w:val="00A22B89"/>
    <w:rsid w:val="00A238E9"/>
    <w:rsid w:val="00A35F9D"/>
    <w:rsid w:val="00A420F2"/>
    <w:rsid w:val="00A751B9"/>
    <w:rsid w:val="00A91C4C"/>
    <w:rsid w:val="00AA04A1"/>
    <w:rsid w:val="00B53441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ABA"/>
    <w:rsid w:val="00C4596C"/>
    <w:rsid w:val="00C7143D"/>
    <w:rsid w:val="00C81F36"/>
    <w:rsid w:val="00CD1B5A"/>
    <w:rsid w:val="00CD5109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A4DD7"/>
    <w:rsid w:val="00DE4BFE"/>
    <w:rsid w:val="00DF24A7"/>
    <w:rsid w:val="00DF6E90"/>
    <w:rsid w:val="00E40563"/>
    <w:rsid w:val="00E47483"/>
    <w:rsid w:val="00E5498D"/>
    <w:rsid w:val="00EA3C6B"/>
    <w:rsid w:val="00EE3839"/>
    <w:rsid w:val="00F57D50"/>
    <w:rsid w:val="00F620ED"/>
    <w:rsid w:val="00F62176"/>
    <w:rsid w:val="00F6533B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CA4920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1E2E"/>
    <w:pPr>
      <w:spacing w:after="0" w:line="240" w:lineRule="auto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rsid w:val="00991E2E"/>
    <w:rPr>
      <w:color w:val="6E298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2.health.wa.gov.au/Articles/A_E/Colonoscopy-and-Gastroscopy-request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AAC2-EED4-4707-88DB-D0AF5A91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3</cp:revision>
  <cp:lastPrinted>2020-07-09T07:06:00Z</cp:lastPrinted>
  <dcterms:created xsi:type="dcterms:W3CDTF">2026-03-10T04:10:00Z</dcterms:created>
  <dcterms:modified xsi:type="dcterms:W3CDTF">2026-03-10T04:10:00Z</dcterms:modified>
</cp:coreProperties>
</file>